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4E1F" w14:textId="4F90DEDB" w:rsidR="00C42C8F" w:rsidRPr="00767BF6" w:rsidRDefault="00C42C8F" w:rsidP="00D11739">
      <w:pPr>
        <w:pStyle w:val="Ttulo1"/>
        <w:rPr>
          <w:rFonts w:ascii="Georgia" w:hAnsi="Georgia"/>
          <w:b/>
        </w:rPr>
      </w:pPr>
      <w:r w:rsidRPr="00767BF6">
        <w:rPr>
          <w:rFonts w:ascii="Georgia" w:hAnsi="Georgia"/>
          <w:b/>
        </w:rPr>
        <w:t>Preguntas y Respuestas</w:t>
      </w:r>
      <w:r w:rsidR="006433BB" w:rsidRPr="00767BF6">
        <w:rPr>
          <w:rFonts w:ascii="Georgia" w:hAnsi="Georgia"/>
          <w:b/>
        </w:rPr>
        <w:br/>
      </w:r>
      <w:r w:rsidR="00851100" w:rsidRPr="00767BF6">
        <w:rPr>
          <w:rFonts w:ascii="Georgia" w:hAnsi="Georgia"/>
          <w:b/>
        </w:rPr>
        <w:t xml:space="preserve">Segundo </w:t>
      </w:r>
      <w:r w:rsidR="001F753D" w:rsidRPr="00767BF6">
        <w:rPr>
          <w:rFonts w:ascii="Georgia" w:hAnsi="Georgia"/>
          <w:b/>
        </w:rPr>
        <w:t xml:space="preserve">Catastro </w:t>
      </w:r>
      <w:hyperlink r:id="rId8" w:history="1">
        <w:r w:rsidR="001F753D" w:rsidRPr="00767BF6">
          <w:rPr>
            <w:rStyle w:val="Hipervnculo"/>
            <w:rFonts w:ascii="Georgia" w:hAnsi="Georgia"/>
            <w:b/>
          </w:rPr>
          <w:t>#LevantemosTuPyme</w:t>
        </w:r>
      </w:hyperlink>
    </w:p>
    <w:p w14:paraId="62B17EAF" w14:textId="77777777" w:rsidR="000E67F9" w:rsidRPr="00767BF6" w:rsidRDefault="000E67F9" w:rsidP="00D11739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¿Qué acciones se han tomado en favor de las empresas de menor tamaño?</w:t>
      </w:r>
    </w:p>
    <w:p w14:paraId="4E55F656" w14:textId="2FC3ECB8" w:rsidR="005E4FFF" w:rsidRDefault="000E67F9" w:rsidP="005E4FFF">
      <w:pPr>
        <w:rPr>
          <w:rFonts w:ascii="Georgia" w:hAnsi="Georgia"/>
        </w:rPr>
      </w:pPr>
      <w:r w:rsidRPr="00767BF6">
        <w:rPr>
          <w:rFonts w:ascii="Georgia" w:hAnsi="Georgia"/>
        </w:rPr>
        <w:t>El Ministerio de Economía</w:t>
      </w:r>
      <w:r w:rsidR="00600000" w:rsidRPr="00767BF6">
        <w:rPr>
          <w:rFonts w:ascii="Georgia" w:hAnsi="Georgia"/>
        </w:rPr>
        <w:t>, Fomento y Turismo</w:t>
      </w:r>
      <w:r w:rsidR="00C563D8" w:rsidRPr="00767BF6">
        <w:rPr>
          <w:rFonts w:ascii="Georgia" w:hAnsi="Georgia"/>
        </w:rPr>
        <w:t xml:space="preserve">, junto a Corfo y Sercotec, </w:t>
      </w:r>
      <w:r w:rsidR="005E4FFF" w:rsidRPr="00767BF6">
        <w:rPr>
          <w:rFonts w:ascii="Georgia" w:hAnsi="Georgia"/>
        </w:rPr>
        <w:t xml:space="preserve">está impulsando la realización de un </w:t>
      </w:r>
      <w:r w:rsidR="00ED6AF7" w:rsidRPr="00767BF6">
        <w:rPr>
          <w:rFonts w:ascii="Georgia" w:hAnsi="Georgia"/>
        </w:rPr>
        <w:t xml:space="preserve">segundo </w:t>
      </w:r>
      <w:r w:rsidR="005E4FFF" w:rsidRPr="00767BF6">
        <w:rPr>
          <w:rFonts w:ascii="Georgia" w:hAnsi="Georgia"/>
        </w:rPr>
        <w:t>catastro</w:t>
      </w:r>
      <w:r w:rsidR="00E433BE" w:rsidRPr="00767BF6">
        <w:rPr>
          <w:rFonts w:ascii="Georgia" w:hAnsi="Georgia"/>
        </w:rPr>
        <w:t xml:space="preserve"> de micro, pequeñas y medianas empresas que </w:t>
      </w:r>
      <w:r w:rsidR="00250BCA" w:rsidRPr="00767BF6">
        <w:rPr>
          <w:rFonts w:ascii="Georgia" w:hAnsi="Georgia"/>
        </w:rPr>
        <w:t>se vieron</w:t>
      </w:r>
      <w:r w:rsidR="00C563D8" w:rsidRPr="00767BF6">
        <w:rPr>
          <w:rFonts w:ascii="Georgia" w:hAnsi="Georgia"/>
        </w:rPr>
        <w:t xml:space="preserve"> afectadas por los recientes desmanes</w:t>
      </w:r>
      <w:r w:rsidR="00E433BE" w:rsidRPr="00767BF6">
        <w:rPr>
          <w:rFonts w:ascii="Georgia" w:hAnsi="Georgia"/>
        </w:rPr>
        <w:t>.</w:t>
      </w:r>
    </w:p>
    <w:p w14:paraId="40D2771E" w14:textId="2E6B307A" w:rsidR="00767BF6" w:rsidRPr="00767BF6" w:rsidRDefault="00767BF6" w:rsidP="005E4FFF">
      <w:pPr>
        <w:rPr>
          <w:rFonts w:ascii="Georgia" w:hAnsi="Georgia"/>
          <w:color w:val="FF0000"/>
          <w:u w:val="single"/>
        </w:rPr>
      </w:pPr>
      <w:r w:rsidRPr="00767BF6">
        <w:rPr>
          <w:rFonts w:ascii="Georgia" w:hAnsi="Georgia"/>
          <w:color w:val="FF0000"/>
          <w:u w:val="single"/>
        </w:rPr>
        <w:t>Ver MINUTA con medidas Levantemos tu Pyme.</w:t>
      </w:r>
    </w:p>
    <w:p w14:paraId="53CAEBC8" w14:textId="7E7608F4" w:rsidR="00E433BE" w:rsidRPr="00767BF6" w:rsidRDefault="00E433BE" w:rsidP="00E433BE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¿Para que servirá este catastro?</w:t>
      </w:r>
    </w:p>
    <w:p w14:paraId="47012CE5" w14:textId="3B395597" w:rsidR="00E1447A" w:rsidRPr="00767BF6" w:rsidRDefault="00E433BE" w:rsidP="00D11739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El catastro permitirá dimensionar el grado de afectación </w:t>
      </w:r>
      <w:r w:rsidR="00767BF6">
        <w:rPr>
          <w:rFonts w:ascii="Georgia" w:hAnsi="Georgia"/>
        </w:rPr>
        <w:t xml:space="preserve">material </w:t>
      </w:r>
      <w:r w:rsidRPr="00767BF6">
        <w:rPr>
          <w:rFonts w:ascii="Georgia" w:hAnsi="Georgia"/>
        </w:rPr>
        <w:t xml:space="preserve">de las empresas de menor tamaño. Con este insumo, el Gobierno impulsará medidas de reactivación económica para las </w:t>
      </w:r>
      <w:r w:rsidR="00C563D8" w:rsidRPr="00767BF6">
        <w:rPr>
          <w:rFonts w:ascii="Georgia" w:hAnsi="Georgia"/>
        </w:rPr>
        <w:t>mipymes</w:t>
      </w:r>
      <w:r w:rsidR="00250BCA" w:rsidRPr="00767BF6">
        <w:rPr>
          <w:rFonts w:ascii="Georgia" w:hAnsi="Georgia"/>
        </w:rPr>
        <w:t xml:space="preserve"> en emergencia</w:t>
      </w:r>
      <w:r w:rsidRPr="00767BF6">
        <w:rPr>
          <w:rFonts w:ascii="Georgia" w:hAnsi="Georgia"/>
        </w:rPr>
        <w:t>.</w:t>
      </w:r>
    </w:p>
    <w:p w14:paraId="76A7404C" w14:textId="1A2A6680" w:rsidR="00E433BE" w:rsidRPr="00767BF6" w:rsidRDefault="00E433BE" w:rsidP="00E433BE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</w:t>
      </w:r>
      <w:r w:rsidR="008A1FAE" w:rsidRPr="00767BF6">
        <w:rPr>
          <w:rFonts w:ascii="Georgia" w:hAnsi="Georgia"/>
        </w:rPr>
        <w:t>A quién está dirigido?</w:t>
      </w:r>
    </w:p>
    <w:p w14:paraId="05B26E1F" w14:textId="3BA945B6" w:rsidR="00E433BE" w:rsidRPr="00767BF6" w:rsidRDefault="00C563D8" w:rsidP="00E433BE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A todo emprendedora/o y/o empresaria/o cuya venta de bienes y servicios no supere las </w:t>
      </w:r>
      <w:r w:rsidR="003D1F2B">
        <w:rPr>
          <w:rFonts w:ascii="Georgia" w:hAnsi="Georgia"/>
        </w:rPr>
        <w:t>100</w:t>
      </w:r>
      <w:r w:rsidR="000723D0" w:rsidRPr="00767BF6">
        <w:rPr>
          <w:rFonts w:ascii="Georgia" w:hAnsi="Georgia"/>
        </w:rPr>
        <w:t>.000</w:t>
      </w:r>
      <w:r w:rsidRPr="00767BF6">
        <w:rPr>
          <w:rFonts w:ascii="Georgia" w:hAnsi="Georgia"/>
        </w:rPr>
        <w:t xml:space="preserve"> UF anuales ($</w:t>
      </w:r>
      <w:r w:rsidR="000723D0" w:rsidRPr="00767BF6">
        <w:rPr>
          <w:rFonts w:ascii="Georgia" w:hAnsi="Georgia"/>
        </w:rPr>
        <w:t>700</w:t>
      </w:r>
      <w:r w:rsidRPr="00767BF6">
        <w:rPr>
          <w:rFonts w:ascii="Georgia" w:hAnsi="Georgia"/>
        </w:rPr>
        <w:t xml:space="preserve"> millones de pesos aproximadamente). El catastro no está cerrado a emprend</w:t>
      </w:r>
      <w:r w:rsidR="001F753D" w:rsidRPr="00767BF6">
        <w:rPr>
          <w:rFonts w:ascii="Georgia" w:hAnsi="Georgia"/>
        </w:rPr>
        <w:t xml:space="preserve">edores informales, solo que los programas </w:t>
      </w:r>
      <w:r w:rsidR="00250BCA" w:rsidRPr="00767BF6">
        <w:rPr>
          <w:rFonts w:ascii="Georgia" w:hAnsi="Georgia"/>
        </w:rPr>
        <w:t>de Corfo y Sercotec no estarán</w:t>
      </w:r>
      <w:r w:rsidRPr="00767BF6">
        <w:rPr>
          <w:rFonts w:ascii="Georgia" w:hAnsi="Georgia"/>
        </w:rPr>
        <w:t xml:space="preserve"> orientados a dich</w:t>
      </w:r>
      <w:r w:rsidR="00250BCA" w:rsidRPr="00767BF6">
        <w:rPr>
          <w:rFonts w:ascii="Georgia" w:hAnsi="Georgia"/>
        </w:rPr>
        <w:t xml:space="preserve">o segmento. Para los emprendedores informales </w:t>
      </w:r>
      <w:r w:rsidRPr="00767BF6">
        <w:rPr>
          <w:rFonts w:ascii="Georgia" w:hAnsi="Georgia"/>
        </w:rPr>
        <w:t>se esperan medidas provenientes</w:t>
      </w:r>
      <w:r w:rsidR="004F434C" w:rsidRPr="00767BF6">
        <w:rPr>
          <w:rFonts w:ascii="Georgia" w:hAnsi="Georgia"/>
        </w:rPr>
        <w:t xml:space="preserve"> de otras reparticiones del Estado</w:t>
      </w:r>
      <w:r w:rsidRPr="00767BF6">
        <w:rPr>
          <w:rFonts w:ascii="Georgia" w:hAnsi="Georgia"/>
        </w:rPr>
        <w:t xml:space="preserve">.  </w:t>
      </w:r>
    </w:p>
    <w:p w14:paraId="52596FCF" w14:textId="3773766F" w:rsidR="008A1FAE" w:rsidRPr="00767BF6" w:rsidRDefault="008A1FAE" w:rsidP="008A1FAE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¿Quién puede completar este catastro?</w:t>
      </w:r>
    </w:p>
    <w:p w14:paraId="4C2329DF" w14:textId="0FF23D54" w:rsidR="008A1FAE" w:rsidRDefault="008A1FAE" w:rsidP="008A1FAE">
      <w:pPr>
        <w:rPr>
          <w:rFonts w:ascii="Georgia" w:hAnsi="Georgia"/>
        </w:rPr>
      </w:pPr>
      <w:r w:rsidRPr="00767BF6">
        <w:rPr>
          <w:rFonts w:ascii="Georgia" w:hAnsi="Georgia"/>
        </w:rPr>
        <w:t>El dueño o dueña de</w:t>
      </w:r>
      <w:r w:rsidR="00250BCA" w:rsidRPr="00767BF6">
        <w:rPr>
          <w:rFonts w:ascii="Georgia" w:hAnsi="Georgia"/>
        </w:rPr>
        <w:t xml:space="preserve"> la empresa o una persona (Ej. trabajador) que tenga las facultades suficientes de representación</w:t>
      </w:r>
      <w:r w:rsidRPr="00767BF6">
        <w:rPr>
          <w:rFonts w:ascii="Georgia" w:hAnsi="Georgia"/>
        </w:rPr>
        <w:t xml:space="preserve">. </w:t>
      </w:r>
    </w:p>
    <w:p w14:paraId="33F9100B" w14:textId="011625C7" w:rsidR="00ED22DE" w:rsidRPr="00ED22DE" w:rsidRDefault="00ED22DE" w:rsidP="00ED22DE">
      <w:pPr>
        <w:pStyle w:val="Ttulo2"/>
        <w:rPr>
          <w:rFonts w:ascii="Georgia" w:hAnsi="Georgia"/>
        </w:rPr>
      </w:pPr>
      <w:r>
        <w:rPr>
          <w:rFonts w:ascii="Georgia" w:hAnsi="Georgia"/>
        </w:rPr>
        <w:t>¿Qué pasa si la empresa se registró en el primer catastro</w:t>
      </w:r>
      <w:r w:rsidRPr="00ED22DE">
        <w:rPr>
          <w:rFonts w:ascii="Georgia" w:hAnsi="Georgia"/>
        </w:rPr>
        <w:t>?</w:t>
      </w:r>
    </w:p>
    <w:p w14:paraId="0E0EE0F0" w14:textId="0C254D34" w:rsidR="00ED22DE" w:rsidRPr="00767BF6" w:rsidRDefault="00ED22DE" w:rsidP="008A1FAE">
      <w:pPr>
        <w:rPr>
          <w:rFonts w:ascii="Georgia" w:hAnsi="Georgia"/>
        </w:rPr>
      </w:pPr>
      <w:r>
        <w:rPr>
          <w:rFonts w:ascii="Georgia" w:hAnsi="Georgia"/>
        </w:rPr>
        <w:t>E</w:t>
      </w:r>
      <w:r w:rsidR="005752CE">
        <w:rPr>
          <w:rFonts w:ascii="Georgia" w:hAnsi="Georgia"/>
        </w:rPr>
        <w:t>sta segunda etapa está orientada</w:t>
      </w:r>
      <w:r>
        <w:rPr>
          <w:rFonts w:ascii="Georgia" w:hAnsi="Georgia"/>
        </w:rPr>
        <w:t>, preferentemente, a empresas que no fueron registradas en el primer catastro. No obstante, si la emp</w:t>
      </w:r>
      <w:r w:rsidR="003A04D5">
        <w:rPr>
          <w:rFonts w:ascii="Georgia" w:hAnsi="Georgia"/>
        </w:rPr>
        <w:t>resa realizó el primer catastro, podría completar el segundo registro</w:t>
      </w:r>
      <w:r w:rsidR="00AB17AE">
        <w:rPr>
          <w:rFonts w:ascii="Georgia" w:hAnsi="Georgia"/>
        </w:rPr>
        <w:t xml:space="preserve"> (no hay exclusión)</w:t>
      </w:r>
      <w:r w:rsidR="003A04D5">
        <w:rPr>
          <w:rFonts w:ascii="Georgia" w:hAnsi="Georgia"/>
        </w:rPr>
        <w:t xml:space="preserve">. </w:t>
      </w:r>
      <w:r w:rsidR="00AB17AE">
        <w:rPr>
          <w:rFonts w:ascii="Georgia" w:hAnsi="Georgia"/>
        </w:rPr>
        <w:t xml:space="preserve">Esto aplica especialmente, </w:t>
      </w:r>
      <w:r w:rsidR="003A04D5">
        <w:rPr>
          <w:rFonts w:ascii="Georgia" w:hAnsi="Georgia"/>
        </w:rPr>
        <w:t>en aquellos casos</w:t>
      </w:r>
      <w:r w:rsidR="00AB17AE">
        <w:rPr>
          <w:rFonts w:ascii="Georgia" w:hAnsi="Georgia"/>
        </w:rPr>
        <w:t xml:space="preserve"> donde hubo pérdidas posteriores al 31/10. Posteriormente se realizarán los cruces pertinentes y se revisará, caso a caso, la situación de las empresas que se registraron en ambos catastros.</w:t>
      </w:r>
    </w:p>
    <w:p w14:paraId="74ECE791" w14:textId="4A802346" w:rsidR="00B928F9" w:rsidRPr="00767BF6" w:rsidRDefault="00B928F9" w:rsidP="00E433BE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¿Qué tipo de afectación será objeto de apoyo?</w:t>
      </w:r>
    </w:p>
    <w:p w14:paraId="72158029" w14:textId="399687F5" w:rsidR="00250BCA" w:rsidRPr="00767BF6" w:rsidRDefault="00B928F9" w:rsidP="00DD0337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El catastro busca levantar datos generales sobre la afectación </w:t>
      </w:r>
      <w:r w:rsidR="00767BF6">
        <w:rPr>
          <w:rFonts w:ascii="Georgia" w:hAnsi="Georgia"/>
        </w:rPr>
        <w:t xml:space="preserve">material </w:t>
      </w:r>
      <w:r w:rsidRPr="00767BF6">
        <w:rPr>
          <w:rFonts w:ascii="Georgia" w:hAnsi="Georgia"/>
        </w:rPr>
        <w:t>de</w:t>
      </w:r>
      <w:r w:rsidR="00250BCA" w:rsidRPr="00767BF6">
        <w:rPr>
          <w:rFonts w:ascii="Georgia" w:hAnsi="Georgia"/>
        </w:rPr>
        <w:t xml:space="preserve">l negocio a causa de los desmanes. Se entenderá como daño </w:t>
      </w:r>
      <w:r w:rsidR="00767BF6">
        <w:rPr>
          <w:rFonts w:ascii="Georgia" w:hAnsi="Georgia"/>
        </w:rPr>
        <w:t xml:space="preserve">material </w:t>
      </w:r>
      <w:r w:rsidR="00250BCA" w:rsidRPr="00767BF6">
        <w:rPr>
          <w:rFonts w:ascii="Georgia" w:hAnsi="Georgia"/>
        </w:rPr>
        <w:t>los perjuicios sobre la infraestructura, máquinas, mercaderías o insumos de la empresa</w:t>
      </w:r>
      <w:r w:rsidR="00470CD6" w:rsidRPr="00767BF6">
        <w:rPr>
          <w:rFonts w:ascii="Georgia" w:hAnsi="Georgia"/>
        </w:rPr>
        <w:t xml:space="preserve">. </w:t>
      </w:r>
    </w:p>
    <w:p w14:paraId="7AF8C794" w14:textId="121619EA" w:rsidR="00E433BE" w:rsidRPr="00767BF6" w:rsidRDefault="00E433BE" w:rsidP="00E433BE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lastRenderedPageBreak/>
        <w:t>¿Qué tipo de ayuda entregará?</w:t>
      </w:r>
    </w:p>
    <w:p w14:paraId="1681BD58" w14:textId="612F7875" w:rsidR="00AF7775" w:rsidRDefault="00AF7775" w:rsidP="00AF7775">
      <w:pPr>
        <w:rPr>
          <w:rFonts w:ascii="Georgia" w:hAnsi="Georgia"/>
        </w:rPr>
      </w:pPr>
      <w:r w:rsidRPr="00767BF6">
        <w:rPr>
          <w:rFonts w:ascii="Georgia" w:hAnsi="Georgia"/>
        </w:rPr>
        <w:t>El catastro corresponde a una primera etapa de levantamiento de información, para luego canalizar orientación o apoyo con los servicios de fomento productivo, como Corfo y Sercotec, que son dependientes del Ministerio de Economía.</w:t>
      </w:r>
    </w:p>
    <w:p w14:paraId="5ED6A900" w14:textId="508B29DB" w:rsidR="00767BF6" w:rsidRPr="00767BF6" w:rsidRDefault="00767BF6" w:rsidP="00AF7775">
      <w:pPr>
        <w:rPr>
          <w:rFonts w:ascii="Georgia" w:hAnsi="Georgia"/>
          <w:color w:val="FF0000"/>
          <w:u w:val="single"/>
        </w:rPr>
      </w:pPr>
      <w:r w:rsidRPr="00767BF6">
        <w:rPr>
          <w:rFonts w:ascii="Georgia" w:hAnsi="Georgia"/>
          <w:color w:val="FF0000"/>
          <w:u w:val="single"/>
        </w:rPr>
        <w:t>Ver MINUTA con medidas Levantemos tu Pyme</w:t>
      </w:r>
    </w:p>
    <w:p w14:paraId="6A79CD45" w14:textId="0B1A56D5" w:rsidR="000D7B8B" w:rsidRPr="00767BF6" w:rsidRDefault="000D7B8B" w:rsidP="000D7B8B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¿La inscripción en este catastro garantiza la obtención de apoyo o</w:t>
      </w:r>
      <w:r w:rsidR="00DF22EF" w:rsidRPr="00767BF6">
        <w:rPr>
          <w:rFonts w:ascii="Georgia" w:hAnsi="Georgia"/>
        </w:rPr>
        <w:t xml:space="preserve"> subsidio</w:t>
      </w:r>
      <w:r w:rsidRPr="00767BF6">
        <w:rPr>
          <w:rFonts w:ascii="Georgia" w:hAnsi="Georgia"/>
        </w:rPr>
        <w:t>?</w:t>
      </w:r>
    </w:p>
    <w:p w14:paraId="5BF22651" w14:textId="44330323" w:rsidR="00E433BE" w:rsidRPr="00767BF6" w:rsidRDefault="000D7B8B" w:rsidP="00E433BE">
      <w:pPr>
        <w:rPr>
          <w:rFonts w:ascii="Georgia" w:hAnsi="Georgia"/>
        </w:rPr>
      </w:pPr>
      <w:r w:rsidRPr="00767BF6">
        <w:rPr>
          <w:rFonts w:ascii="Georgia" w:hAnsi="Georgia"/>
        </w:rPr>
        <w:t>No asegura</w:t>
      </w:r>
      <w:r w:rsidR="00DF22EF" w:rsidRPr="00767BF6">
        <w:rPr>
          <w:rFonts w:ascii="Georgia" w:hAnsi="Georgia"/>
        </w:rPr>
        <w:t xml:space="preserve"> subsidio y apoyo directo</w:t>
      </w:r>
      <w:r w:rsidRPr="00767BF6">
        <w:rPr>
          <w:rFonts w:ascii="Georgia" w:hAnsi="Georgia"/>
        </w:rPr>
        <w:t xml:space="preserve">, pero sí brinda certezas, en cuanto a que el/la afectado/a </w:t>
      </w:r>
      <w:r w:rsidR="00FE4B8E" w:rsidRPr="00767BF6">
        <w:rPr>
          <w:rFonts w:ascii="Georgia" w:hAnsi="Georgia"/>
        </w:rPr>
        <w:t xml:space="preserve">es </w:t>
      </w:r>
      <w:r w:rsidR="00DF22EF" w:rsidRPr="00767BF6">
        <w:rPr>
          <w:rFonts w:ascii="Georgia" w:hAnsi="Georgia"/>
        </w:rPr>
        <w:t>parte de un c</w:t>
      </w:r>
      <w:r w:rsidR="00FE4B8E" w:rsidRPr="00767BF6">
        <w:rPr>
          <w:rFonts w:ascii="Georgia" w:hAnsi="Georgia"/>
        </w:rPr>
        <w:t xml:space="preserve">atastro de daños, quedando </w:t>
      </w:r>
      <w:r w:rsidR="00D22461" w:rsidRPr="00767BF6">
        <w:rPr>
          <w:rFonts w:ascii="Georgia" w:hAnsi="Georgia"/>
        </w:rPr>
        <w:t xml:space="preserve">en la base de datos </w:t>
      </w:r>
      <w:r w:rsidR="001F753D" w:rsidRPr="00767BF6">
        <w:rPr>
          <w:rFonts w:ascii="Georgia" w:hAnsi="Georgia"/>
        </w:rPr>
        <w:t xml:space="preserve">que utilizará la Red de Fomento (Ej. Corfo y Sercotec) </w:t>
      </w:r>
      <w:r w:rsidRPr="00767BF6">
        <w:rPr>
          <w:rFonts w:ascii="Georgia" w:hAnsi="Georgia"/>
        </w:rPr>
        <w:t>para ir en apoyo de los afectados.</w:t>
      </w:r>
    </w:p>
    <w:p w14:paraId="132438F1" w14:textId="77777777" w:rsidR="009D1DE1" w:rsidRPr="00767BF6" w:rsidRDefault="009D1DE1" w:rsidP="009D1DE1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¿Cómo me inscribo en el catastro?</w:t>
      </w:r>
    </w:p>
    <w:p w14:paraId="082CD5BF" w14:textId="7C23927F" w:rsidR="00112445" w:rsidRPr="00767BF6" w:rsidRDefault="009D1DE1" w:rsidP="009D1DE1">
      <w:pPr>
        <w:rPr>
          <w:rFonts w:ascii="Georgia" w:hAnsi="Georgia"/>
        </w:rPr>
      </w:pPr>
      <w:r w:rsidRPr="00767BF6">
        <w:rPr>
          <w:rFonts w:ascii="Georgia" w:hAnsi="Georgia"/>
        </w:rPr>
        <w:t>A</w:t>
      </w:r>
      <w:r w:rsidR="00BF23BC" w:rsidRPr="00767BF6">
        <w:rPr>
          <w:rFonts w:ascii="Georgia" w:hAnsi="Georgia"/>
        </w:rPr>
        <w:t xml:space="preserve"> través de un formulario </w:t>
      </w:r>
      <w:r w:rsidR="00E433BE" w:rsidRPr="00767BF6">
        <w:rPr>
          <w:rFonts w:ascii="Georgia" w:hAnsi="Georgia"/>
        </w:rPr>
        <w:t xml:space="preserve">electrónico </w:t>
      </w:r>
      <w:r w:rsidR="00B928F9" w:rsidRPr="00767BF6">
        <w:rPr>
          <w:rFonts w:ascii="Georgia" w:hAnsi="Georgia"/>
        </w:rPr>
        <w:t>disponible en el sitio web del Ministerio</w:t>
      </w:r>
      <w:r w:rsidR="000D7B8B" w:rsidRPr="00767BF6">
        <w:rPr>
          <w:rFonts w:ascii="Georgia" w:hAnsi="Georgia"/>
        </w:rPr>
        <w:t xml:space="preserve"> de Economía, Fomento y Turismo, en el link: </w:t>
      </w:r>
      <w:hyperlink r:id="rId9" w:history="1">
        <w:r w:rsidR="00112445" w:rsidRPr="00D71D91">
          <w:rPr>
            <w:rStyle w:val="Hipervnculo"/>
            <w:rFonts w:ascii="Georgia" w:hAnsi="Georgia"/>
          </w:rPr>
          <w:t>https://www.economia.gob.cl/levantemostupyme</w:t>
        </w:r>
      </w:hyperlink>
    </w:p>
    <w:p w14:paraId="70D0AF13" w14:textId="117F21F3" w:rsidR="00B928F9" w:rsidRPr="00767BF6" w:rsidRDefault="00B928F9" w:rsidP="009D1DE1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También puede </w:t>
      </w:r>
      <w:r w:rsidR="00BF23BC" w:rsidRPr="00767BF6">
        <w:rPr>
          <w:rFonts w:ascii="Georgia" w:hAnsi="Georgia"/>
        </w:rPr>
        <w:t>se</w:t>
      </w:r>
      <w:r w:rsidR="00E433BE" w:rsidRPr="00767BF6">
        <w:rPr>
          <w:rFonts w:ascii="Georgia" w:hAnsi="Georgia"/>
        </w:rPr>
        <w:t>r completado en forma prese</w:t>
      </w:r>
      <w:r w:rsidRPr="00767BF6">
        <w:rPr>
          <w:rFonts w:ascii="Georgia" w:hAnsi="Georgia"/>
        </w:rPr>
        <w:t>ncial, en los siguientes lugares:</w:t>
      </w:r>
    </w:p>
    <w:p w14:paraId="6FA930AB" w14:textId="4292C71E" w:rsidR="00E1447A" w:rsidRPr="00767BF6" w:rsidRDefault="00B928F9" w:rsidP="001F753D">
      <w:pPr>
        <w:pStyle w:val="Prrafodelista"/>
        <w:numPr>
          <w:ilvl w:val="0"/>
          <w:numId w:val="9"/>
        </w:numPr>
        <w:jc w:val="left"/>
        <w:rPr>
          <w:rFonts w:ascii="Georgia" w:hAnsi="Georgia"/>
        </w:rPr>
      </w:pPr>
      <w:r w:rsidRPr="00767BF6">
        <w:rPr>
          <w:rFonts w:ascii="Georgia" w:hAnsi="Georgia"/>
        </w:rPr>
        <w:t xml:space="preserve">Centros de Negocios de Sercotec de todo el país. Para conocer la localización de estos establecimientos, consultar el sitio web </w:t>
      </w:r>
      <w:hyperlink r:id="rId10" w:history="1">
        <w:r w:rsidRPr="00767BF6">
          <w:rPr>
            <w:rStyle w:val="Hipervnculo"/>
            <w:rFonts w:ascii="Georgia" w:hAnsi="Georgia"/>
          </w:rPr>
          <w:t>https://www.sercotec.cl/centros-de-negocios/</w:t>
        </w:r>
      </w:hyperlink>
    </w:p>
    <w:p w14:paraId="13ED932E" w14:textId="684C7EAB" w:rsidR="00B928F9" w:rsidRPr="00767BF6" w:rsidRDefault="00B928F9" w:rsidP="001F753D">
      <w:pPr>
        <w:pStyle w:val="Prrafodelista"/>
        <w:numPr>
          <w:ilvl w:val="0"/>
          <w:numId w:val="9"/>
        </w:numPr>
        <w:jc w:val="left"/>
        <w:rPr>
          <w:rFonts w:ascii="Georgia" w:hAnsi="Georgia"/>
        </w:rPr>
      </w:pPr>
      <w:r w:rsidRPr="00767BF6">
        <w:rPr>
          <w:rFonts w:ascii="Georgia" w:hAnsi="Georgia"/>
        </w:rPr>
        <w:t xml:space="preserve">Direcciones regionales de Sercotec. Para conocer la localización de estos establecimientos, consultar el sitio web </w:t>
      </w:r>
      <w:hyperlink r:id="rId11" w:history="1">
        <w:r w:rsidRPr="00767BF6">
          <w:rPr>
            <w:rStyle w:val="Hipervnculo"/>
            <w:rFonts w:ascii="Georgia" w:hAnsi="Georgia"/>
          </w:rPr>
          <w:t>https://www.sercotec.cl/mapa-de-oficinas/</w:t>
        </w:r>
      </w:hyperlink>
    </w:p>
    <w:p w14:paraId="574819E5" w14:textId="634D4049" w:rsidR="00B928F9" w:rsidRPr="00767BF6" w:rsidRDefault="00B928F9" w:rsidP="001F753D">
      <w:pPr>
        <w:pStyle w:val="Prrafodelista"/>
        <w:numPr>
          <w:ilvl w:val="0"/>
          <w:numId w:val="9"/>
        </w:numPr>
        <w:jc w:val="left"/>
        <w:rPr>
          <w:rFonts w:ascii="Georgia" w:hAnsi="Georgia"/>
        </w:rPr>
      </w:pPr>
      <w:r w:rsidRPr="00767BF6">
        <w:rPr>
          <w:rFonts w:ascii="Georgia" w:hAnsi="Georgia"/>
        </w:rPr>
        <w:t>Direcciones regionales de Corfo</w:t>
      </w:r>
      <w:r w:rsidR="000D7B8B" w:rsidRPr="00767BF6">
        <w:rPr>
          <w:rFonts w:ascii="Georgia" w:hAnsi="Georgia"/>
        </w:rPr>
        <w:t xml:space="preserve">. Para conocer la localización de estos establecimientos, consultar el sitio web </w:t>
      </w:r>
      <w:hyperlink r:id="rId12" w:history="1">
        <w:r w:rsidR="000D7B8B" w:rsidRPr="00767BF6">
          <w:rPr>
            <w:rStyle w:val="Hipervnculo"/>
            <w:rFonts w:ascii="Georgia" w:hAnsi="Georgia"/>
          </w:rPr>
          <w:t>https://www.corfo.cl/sites/cpp/canales_de_atención</w:t>
        </w:r>
      </w:hyperlink>
      <w:r w:rsidR="000D7B8B" w:rsidRPr="00767BF6">
        <w:rPr>
          <w:rFonts w:ascii="Georgia" w:hAnsi="Georgia"/>
        </w:rPr>
        <w:t xml:space="preserve"> </w:t>
      </w:r>
    </w:p>
    <w:p w14:paraId="6B1E6B7B" w14:textId="71F44BDE" w:rsidR="00767BF6" w:rsidRPr="00767BF6" w:rsidRDefault="000D7B8B" w:rsidP="00767BF6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¿Qué información debe registrarse en el catastro?</w:t>
      </w:r>
    </w:p>
    <w:p w14:paraId="0E381F4A" w14:textId="4C51BEC7" w:rsidR="00DD0337" w:rsidRPr="00767BF6" w:rsidRDefault="00DD0337" w:rsidP="001F753D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Se deberá declarar una estimación del daño, es decir, del impacto económico negativo sobre el negocio, </w:t>
      </w:r>
      <w:r w:rsidR="003D1C7E" w:rsidRPr="00767BF6">
        <w:rPr>
          <w:rFonts w:ascii="Georgia" w:hAnsi="Georgia"/>
        </w:rPr>
        <w:t xml:space="preserve">en una o más de las siguientes </w:t>
      </w:r>
      <w:r w:rsidR="00623838" w:rsidRPr="00767BF6">
        <w:rPr>
          <w:rFonts w:ascii="Georgia" w:hAnsi="Georgia"/>
        </w:rPr>
        <w:t>tres</w:t>
      </w:r>
      <w:r w:rsidR="003D1C7E" w:rsidRPr="00767BF6">
        <w:rPr>
          <w:rFonts w:ascii="Georgia" w:hAnsi="Georgia"/>
        </w:rPr>
        <w:t xml:space="preserve"> </w:t>
      </w:r>
      <w:r w:rsidRPr="00767BF6">
        <w:rPr>
          <w:rFonts w:ascii="Georgia" w:hAnsi="Georgia"/>
        </w:rPr>
        <w:t xml:space="preserve">categorías: </w:t>
      </w:r>
    </w:p>
    <w:p w14:paraId="5A10E3EF" w14:textId="3F7BDF73" w:rsidR="00DD0337" w:rsidRPr="00767BF6" w:rsidRDefault="00DD0337" w:rsidP="001F753D">
      <w:pPr>
        <w:pStyle w:val="Prrafodelista"/>
        <w:numPr>
          <w:ilvl w:val="0"/>
          <w:numId w:val="10"/>
        </w:numPr>
        <w:rPr>
          <w:rFonts w:ascii="Georgia" w:hAnsi="Georgia"/>
        </w:rPr>
      </w:pPr>
      <w:r w:rsidRPr="00767BF6">
        <w:rPr>
          <w:rFonts w:ascii="Georgia" w:hAnsi="Georgia"/>
        </w:rPr>
        <w:t>Infraestructura: daños sobre el local o las instalaciones del negocio</w:t>
      </w:r>
    </w:p>
    <w:p w14:paraId="5505354B" w14:textId="77777777" w:rsidR="00DD0337" w:rsidRPr="00767BF6" w:rsidRDefault="00DD0337" w:rsidP="001F753D">
      <w:pPr>
        <w:pStyle w:val="Prrafodelista"/>
        <w:numPr>
          <w:ilvl w:val="0"/>
          <w:numId w:val="10"/>
        </w:numPr>
        <w:rPr>
          <w:rFonts w:ascii="Georgia" w:hAnsi="Georgia"/>
        </w:rPr>
      </w:pPr>
      <w:r w:rsidRPr="00767BF6">
        <w:rPr>
          <w:rFonts w:ascii="Georgia" w:hAnsi="Georgia"/>
        </w:rPr>
        <w:t>Maquinaria y equipos: daños sobre equipos u otro tipo de activos fijos</w:t>
      </w:r>
    </w:p>
    <w:p w14:paraId="43DA668C" w14:textId="0C6FAC5E" w:rsidR="00DD0337" w:rsidRPr="00767BF6" w:rsidRDefault="00DD0337" w:rsidP="001F753D">
      <w:pPr>
        <w:pStyle w:val="Prrafodelista"/>
        <w:numPr>
          <w:ilvl w:val="0"/>
          <w:numId w:val="10"/>
        </w:numPr>
        <w:rPr>
          <w:rFonts w:ascii="Georgia" w:hAnsi="Georgia"/>
        </w:rPr>
      </w:pPr>
      <w:r w:rsidRPr="00767BF6">
        <w:rPr>
          <w:rFonts w:ascii="Georgia" w:hAnsi="Georgia"/>
        </w:rPr>
        <w:t>Mercadería: materias primas y/o insumos perdidos.</w:t>
      </w:r>
    </w:p>
    <w:p w14:paraId="36294815" w14:textId="36BBBD17" w:rsidR="00DD0337" w:rsidRPr="00767BF6" w:rsidRDefault="00DD0337" w:rsidP="001F753D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Además, deberán consignarse los antecedentes personales y de la empresa. Es importante que estos datos estén actualizados, para que sea posible tomar contacto con los afectados, en caso que se requiera. </w:t>
      </w:r>
    </w:p>
    <w:p w14:paraId="1A84C8FC" w14:textId="02D0E322" w:rsidR="00767BF6" w:rsidRDefault="001F753D" w:rsidP="001F753D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También los </w:t>
      </w:r>
      <w:r w:rsidR="008A1FAE" w:rsidRPr="00767BF6">
        <w:rPr>
          <w:rFonts w:ascii="Georgia" w:hAnsi="Georgia"/>
        </w:rPr>
        <w:t xml:space="preserve">emprendedores </w:t>
      </w:r>
      <w:r w:rsidR="00DD0337" w:rsidRPr="00767BF6">
        <w:rPr>
          <w:rFonts w:ascii="Georgia" w:hAnsi="Georgia"/>
        </w:rPr>
        <w:t xml:space="preserve">afectados podrán respaldar su declaración a través de fotografías y videos. La información que se levante a través de este catastro será verificada </w:t>
      </w:r>
      <w:r w:rsidR="00953778">
        <w:rPr>
          <w:rFonts w:ascii="Georgia" w:hAnsi="Georgia"/>
        </w:rPr>
        <w:lastRenderedPageBreak/>
        <w:t xml:space="preserve">personalmente </w:t>
      </w:r>
      <w:r w:rsidR="00DD0337" w:rsidRPr="00767BF6">
        <w:rPr>
          <w:rFonts w:ascii="Georgia" w:hAnsi="Georgia"/>
        </w:rPr>
        <w:t>y cotejada con información tributaria del Servicio de Impuestos Internos (SII).</w:t>
      </w:r>
    </w:p>
    <w:p w14:paraId="2C7A1A85" w14:textId="482E0E46" w:rsidR="00767BF6" w:rsidRDefault="00767BF6" w:rsidP="00767BF6">
      <w:pPr>
        <w:pStyle w:val="Ttulo2"/>
        <w:rPr>
          <w:rFonts w:ascii="Georgia" w:hAnsi="Georgia"/>
        </w:rPr>
      </w:pPr>
      <w:r>
        <w:rPr>
          <w:rFonts w:ascii="Georgia" w:hAnsi="Georgia"/>
        </w:rPr>
        <w:t>¿Por qué el catastro no considera el daño no material? ¿Habrá apoyo a afrontar el lucro cesante?</w:t>
      </w:r>
    </w:p>
    <w:p w14:paraId="39712E04" w14:textId="77BBCBAB" w:rsidR="00953778" w:rsidRPr="00953778" w:rsidRDefault="00767BF6" w:rsidP="00953778">
      <w:pPr>
        <w:rPr>
          <w:rFonts w:ascii="Georgia" w:hAnsi="Georgia" w:cs="Calibri"/>
        </w:rPr>
      </w:pPr>
      <w:r w:rsidRPr="00953778">
        <w:rPr>
          <w:rFonts w:ascii="Georgia" w:hAnsi="Georgia"/>
        </w:rPr>
        <w:t xml:space="preserve">Para aquellas empresas que no sufrieron daño </w:t>
      </w:r>
      <w:r w:rsidR="00953778" w:rsidRPr="00953778">
        <w:rPr>
          <w:rFonts w:ascii="Georgia" w:hAnsi="Georgia"/>
        </w:rPr>
        <w:t>material, pero si se vieron perjudic</w:t>
      </w:r>
      <w:r w:rsidR="00953778">
        <w:rPr>
          <w:rFonts w:ascii="Georgia" w:hAnsi="Georgia"/>
        </w:rPr>
        <w:t xml:space="preserve">adas en materia comercial estamos </w:t>
      </w:r>
      <w:r w:rsidR="00953778" w:rsidRPr="00953778">
        <w:rPr>
          <w:rFonts w:ascii="Georgia" w:hAnsi="Georgia" w:cs="Calibri"/>
        </w:rPr>
        <w:t>trabajando en dos frentes:</w:t>
      </w:r>
    </w:p>
    <w:p w14:paraId="45FF2EE9" w14:textId="77777777" w:rsidR="00953778" w:rsidRPr="00953778" w:rsidRDefault="00953778" w:rsidP="00953778">
      <w:pPr>
        <w:numPr>
          <w:ilvl w:val="0"/>
          <w:numId w:val="13"/>
        </w:numPr>
        <w:contextualSpacing/>
        <w:rPr>
          <w:rFonts w:ascii="Georgia" w:hAnsi="Georgia" w:cs="Calibri"/>
        </w:rPr>
      </w:pPr>
      <w:r w:rsidRPr="00953778">
        <w:rPr>
          <w:rFonts w:ascii="Georgia" w:hAnsi="Georgia" w:cs="Calibri"/>
          <w:b/>
        </w:rPr>
        <w:t>Programas de cobertura de créditos CORFO</w:t>
      </w:r>
      <w:r w:rsidRPr="00953778">
        <w:rPr>
          <w:rFonts w:ascii="Georgia" w:hAnsi="Georgia" w:cs="Calibri"/>
        </w:rPr>
        <w:t>: La Gerencia de Inversión y Financiamiento (GIF) de CORFO a través de su Programa de Cobertura FOGAIN, ofrece una medida de apoyo a las empresas afectadas (directamente e indirectamente), consistente en la rebaja de la tasa de comisión para las operaciones de financiamiento acogidas al Programa. En promedio, la tasa de comisión normal es de 1,4%-1,9%. Para las pymes afectadas se establece una tasa de comisión rebajada para las operaciones de FOGAIN:</w:t>
      </w:r>
    </w:p>
    <w:p w14:paraId="69B78A37" w14:textId="77777777" w:rsidR="00953778" w:rsidRPr="00953778" w:rsidRDefault="00953778" w:rsidP="00953778">
      <w:pPr>
        <w:ind w:left="720"/>
        <w:contextualSpacing/>
        <w:rPr>
          <w:rFonts w:ascii="Georgia" w:hAnsi="Georgia" w:cs="Calibri"/>
        </w:rPr>
      </w:pPr>
    </w:p>
    <w:p w14:paraId="413E5D8F" w14:textId="77777777" w:rsidR="00953778" w:rsidRPr="00953778" w:rsidRDefault="00953778" w:rsidP="00953778">
      <w:pPr>
        <w:numPr>
          <w:ilvl w:val="0"/>
          <w:numId w:val="14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</w:rPr>
        <w:t>0,5% para nuevas operaciones.</w:t>
      </w:r>
    </w:p>
    <w:p w14:paraId="10982147" w14:textId="77777777" w:rsidR="00953778" w:rsidRPr="00953778" w:rsidRDefault="00953778" w:rsidP="00953778">
      <w:pPr>
        <w:numPr>
          <w:ilvl w:val="0"/>
          <w:numId w:val="14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</w:rPr>
        <w:t>0,0% para reprogramación de operaciones FOGAIN.</w:t>
      </w:r>
    </w:p>
    <w:p w14:paraId="72716165" w14:textId="77777777" w:rsidR="00953778" w:rsidRDefault="00953778" w:rsidP="00953778">
      <w:pPr>
        <w:rPr>
          <w:rFonts w:ascii="Georgia" w:hAnsi="Georgia" w:cs="Calibri"/>
        </w:rPr>
      </w:pPr>
    </w:p>
    <w:p w14:paraId="5ED7DD6B" w14:textId="6C1D8760" w:rsidR="00953778" w:rsidRPr="00953778" w:rsidRDefault="00953778" w:rsidP="00953778">
      <w:pPr>
        <w:rPr>
          <w:rFonts w:ascii="Georgia" w:hAnsi="Georgia" w:cs="Calibri"/>
          <w:color w:val="0563C1" w:themeColor="hyperlink"/>
          <w:u w:val="single"/>
        </w:rPr>
      </w:pPr>
      <w:r w:rsidRPr="00953778">
        <w:rPr>
          <w:rFonts w:ascii="Georgia" w:hAnsi="Georgia" w:cs="Calibri"/>
        </w:rPr>
        <w:t xml:space="preserve">Este beneficio la pyme lo debe solicitar directamente en la entidad financiera. En el siguiente link está la lista de entidades financieras acogidas al programa FOGAIN: </w:t>
      </w:r>
      <w:hyperlink r:id="rId13" w:history="1">
        <w:r w:rsidRPr="00953778">
          <w:rPr>
            <w:rFonts w:ascii="Georgia" w:hAnsi="Georgia" w:cs="Calibri"/>
            <w:color w:val="0563C1" w:themeColor="hyperlink"/>
            <w:u w:val="single"/>
          </w:rPr>
          <w:t>https://www.corfo.cl/sites/cpp/intermediario&amp;at=1456407918101</w:t>
        </w:r>
      </w:hyperlink>
    </w:p>
    <w:p w14:paraId="1A564C28" w14:textId="77777777" w:rsidR="00953778" w:rsidRPr="00953778" w:rsidRDefault="00953778" w:rsidP="00953778">
      <w:pPr>
        <w:numPr>
          <w:ilvl w:val="0"/>
          <w:numId w:val="13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  <w:b/>
        </w:rPr>
        <w:t>Coordinación con la Banca</w:t>
      </w:r>
      <w:r w:rsidRPr="00953778">
        <w:rPr>
          <w:rFonts w:ascii="Georgia" w:hAnsi="Georgia" w:cs="Calibri"/>
        </w:rPr>
        <w:t>: el Gobierno ha analizado y acordado con el sector financiero planes extraordinarios que den más flexibilidad, más posibilidades de reprogramar nuevos créditos para capital de trabajo y también agilización para que las micro, pequeñas y medianas empresas puedan cobrar los seguros comprometidos que no son suficientes.</w:t>
      </w:r>
    </w:p>
    <w:p w14:paraId="7BB45ECA" w14:textId="77777777" w:rsidR="00953778" w:rsidRPr="00953778" w:rsidRDefault="00953778" w:rsidP="00953778">
      <w:pPr>
        <w:ind w:left="720"/>
        <w:contextualSpacing/>
        <w:rPr>
          <w:rFonts w:ascii="Georgia" w:hAnsi="Georgia" w:cs="Calibri"/>
        </w:rPr>
      </w:pPr>
    </w:p>
    <w:p w14:paraId="51A5576E" w14:textId="77777777" w:rsidR="00953778" w:rsidRPr="00953778" w:rsidRDefault="00953778" w:rsidP="00953778">
      <w:pPr>
        <w:rPr>
          <w:rFonts w:ascii="Georgia" w:hAnsi="Georgia" w:cs="Calibri"/>
        </w:rPr>
      </w:pPr>
      <w:r w:rsidRPr="00953778">
        <w:rPr>
          <w:rFonts w:ascii="Georgia" w:hAnsi="Georgia" w:cs="Calibri"/>
        </w:rPr>
        <w:t xml:space="preserve">Ejemplos de medidas anunciadas por el BancoEstado: </w:t>
      </w:r>
    </w:p>
    <w:p w14:paraId="4F17EE1A" w14:textId="77777777" w:rsidR="00953778" w:rsidRPr="00953778" w:rsidRDefault="00953778" w:rsidP="00953778">
      <w:pPr>
        <w:numPr>
          <w:ilvl w:val="0"/>
          <w:numId w:val="15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</w:rPr>
        <w:t>Suspensión de pagos de cuotas por 3 meses a tasa 0.</w:t>
      </w:r>
    </w:p>
    <w:p w14:paraId="64163ECC" w14:textId="77777777" w:rsidR="00953778" w:rsidRPr="00953778" w:rsidRDefault="00953778" w:rsidP="00953778">
      <w:pPr>
        <w:numPr>
          <w:ilvl w:val="0"/>
          <w:numId w:val="15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</w:rPr>
        <w:t>Líneas de financiamientos especiales para capital de trabajo con tasa preferencial.</w:t>
      </w:r>
    </w:p>
    <w:p w14:paraId="3978A8CA" w14:textId="1009F63B" w:rsidR="00953778" w:rsidRDefault="00953778" w:rsidP="00953778">
      <w:pPr>
        <w:numPr>
          <w:ilvl w:val="0"/>
          <w:numId w:val="15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</w:rPr>
        <w:t>Acelerar liquidación de seguros.</w:t>
      </w:r>
    </w:p>
    <w:p w14:paraId="68F3277D" w14:textId="77777777" w:rsidR="005752CE" w:rsidRDefault="005752CE" w:rsidP="005752CE">
      <w:pPr>
        <w:spacing w:after="0"/>
        <w:rPr>
          <w:rFonts w:ascii="Georgia" w:hAnsi="Georgia" w:cs="Calibri"/>
        </w:rPr>
      </w:pPr>
    </w:p>
    <w:p w14:paraId="3400D04E" w14:textId="21AF9BA7" w:rsidR="00953778" w:rsidRPr="00953778" w:rsidRDefault="00953778" w:rsidP="00953778">
      <w:pPr>
        <w:rPr>
          <w:rFonts w:ascii="Georgia" w:hAnsi="Georgia" w:cs="Calibri"/>
        </w:rPr>
      </w:pPr>
      <w:r w:rsidRPr="00953778">
        <w:rPr>
          <w:rFonts w:ascii="Georgia" w:hAnsi="Georgia" w:cs="Calibri"/>
        </w:rPr>
        <w:t xml:space="preserve">A la fecha </w:t>
      </w:r>
      <w:r>
        <w:rPr>
          <w:rFonts w:ascii="Georgia" w:hAnsi="Georgia" w:cs="Calibri"/>
        </w:rPr>
        <w:t xml:space="preserve">algunos </w:t>
      </w:r>
      <w:r w:rsidRPr="00953778">
        <w:rPr>
          <w:rFonts w:ascii="Georgia" w:hAnsi="Georgia" w:cs="Calibri"/>
        </w:rPr>
        <w:t>bancos han publicado medidas especiales en esta materia:</w:t>
      </w:r>
    </w:p>
    <w:p w14:paraId="1E4417C8" w14:textId="77777777" w:rsidR="00953778" w:rsidRPr="00953778" w:rsidRDefault="00953778" w:rsidP="00953778">
      <w:pPr>
        <w:numPr>
          <w:ilvl w:val="0"/>
          <w:numId w:val="16"/>
        </w:numPr>
        <w:contextualSpacing/>
        <w:jc w:val="left"/>
        <w:rPr>
          <w:rFonts w:ascii="Georgia" w:hAnsi="Georgia" w:cs="Calibri"/>
          <w:color w:val="0563C1" w:themeColor="hyperlink"/>
          <w:u w:val="single"/>
        </w:rPr>
      </w:pPr>
      <w:r w:rsidRPr="00953778">
        <w:rPr>
          <w:rFonts w:ascii="Georgia" w:hAnsi="Georgia" w:cs="Calibri"/>
        </w:rPr>
        <w:t xml:space="preserve">Banco Estado: </w:t>
      </w:r>
      <w:hyperlink r:id="rId14" w:history="1">
        <w:r w:rsidRPr="00953778">
          <w:rPr>
            <w:rFonts w:ascii="Georgia" w:hAnsi="Georgia" w:cs="Calibri"/>
            <w:color w:val="0563C1" w:themeColor="hyperlink"/>
            <w:u w:val="single"/>
          </w:rPr>
          <w:t>https://www.bancoestado.cl/imagenes/_campanas/microempresas/levantapyme/levantapyme-micro.asp</w:t>
        </w:r>
      </w:hyperlink>
    </w:p>
    <w:p w14:paraId="35510629" w14:textId="77777777" w:rsidR="00953778" w:rsidRPr="00953778" w:rsidRDefault="00953778" w:rsidP="00953778">
      <w:pPr>
        <w:numPr>
          <w:ilvl w:val="0"/>
          <w:numId w:val="16"/>
        </w:numPr>
        <w:contextualSpacing/>
        <w:jc w:val="left"/>
        <w:rPr>
          <w:rFonts w:ascii="Georgia" w:hAnsi="Georgia" w:cs="Calibri"/>
          <w:color w:val="0563C1" w:themeColor="hyperlink"/>
          <w:u w:val="single"/>
        </w:rPr>
      </w:pPr>
      <w:r w:rsidRPr="00953778">
        <w:rPr>
          <w:rFonts w:ascii="Georgia" w:hAnsi="Georgia" w:cs="Calibri"/>
        </w:rPr>
        <w:t xml:space="preserve">Banco de Chile: </w:t>
      </w:r>
      <w:hyperlink r:id="rId15" w:history="1">
        <w:r w:rsidRPr="00953778">
          <w:rPr>
            <w:rFonts w:ascii="Georgia" w:hAnsi="Georgia" w:cs="Calibri"/>
            <w:color w:val="0563C1" w:themeColor="hyperlink"/>
            <w:u w:val="single"/>
          </w:rPr>
          <w:t>https://ww3.bancochile.cl/wps/wcm/connect/pyme/portal/asesoria-capacitacion-y-beneficios/comprometidos-con-pymes</w:t>
        </w:r>
      </w:hyperlink>
    </w:p>
    <w:p w14:paraId="189D2607" w14:textId="7A816278" w:rsidR="00767BF6" w:rsidRPr="00953778" w:rsidRDefault="00953778" w:rsidP="001F753D">
      <w:pPr>
        <w:numPr>
          <w:ilvl w:val="0"/>
          <w:numId w:val="16"/>
        </w:numPr>
        <w:contextualSpacing/>
        <w:jc w:val="left"/>
        <w:rPr>
          <w:rFonts w:ascii="Georgia" w:hAnsi="Georgia" w:cs="Calibri"/>
        </w:rPr>
      </w:pPr>
      <w:r w:rsidRPr="00953778">
        <w:rPr>
          <w:rFonts w:ascii="Georgia" w:hAnsi="Georgia" w:cs="Calibri"/>
        </w:rPr>
        <w:lastRenderedPageBreak/>
        <w:t xml:space="preserve">Banco BCI: </w:t>
      </w:r>
      <w:hyperlink r:id="rId16" w:history="1">
        <w:r w:rsidRPr="00953778">
          <w:rPr>
            <w:rFonts w:ascii="Georgia" w:hAnsi="Georgia" w:cs="Calibri"/>
            <w:color w:val="0563C1" w:themeColor="hyperlink"/>
            <w:u w:val="single"/>
          </w:rPr>
          <w:t>https://www.bci.cl/empresarios/medidas-de-apoyo-pyme</w:t>
        </w:r>
      </w:hyperlink>
    </w:p>
    <w:p w14:paraId="50AB7F77" w14:textId="7BB7FCC2" w:rsidR="00953778" w:rsidRDefault="00953778" w:rsidP="00953778">
      <w:pPr>
        <w:contextualSpacing/>
        <w:jc w:val="left"/>
        <w:rPr>
          <w:rFonts w:ascii="Georgia" w:hAnsi="Georgia" w:cs="Calibri"/>
        </w:rPr>
      </w:pPr>
    </w:p>
    <w:p w14:paraId="5C688A99" w14:textId="7F5D4C9D" w:rsidR="00112445" w:rsidRDefault="00112445" w:rsidP="00112445">
      <w:pPr>
        <w:contextualSpacing/>
        <w:rPr>
          <w:rFonts w:ascii="Georgia" w:hAnsi="Georgia" w:cs="Calibri"/>
        </w:rPr>
      </w:pPr>
      <w:r>
        <w:rPr>
          <w:rFonts w:ascii="Georgia" w:hAnsi="Georgia" w:cs="Calibri"/>
        </w:rPr>
        <w:t xml:space="preserve">Recientemente el Ministerio de Economía, junto con el Ministerio de Hacienda, anunciaron una nueva inyección de recursos para que las pymes puedan obtener financiamiento. Se capitalizará </w:t>
      </w:r>
      <w:r w:rsidRPr="00112445">
        <w:rPr>
          <w:rFonts w:ascii="Georgia" w:hAnsi="Georgia" w:cs="Calibri"/>
        </w:rPr>
        <w:t xml:space="preserve">Banco Estado por </w:t>
      </w:r>
      <w:r>
        <w:rPr>
          <w:rFonts w:ascii="Georgia" w:hAnsi="Georgia" w:cs="Calibri"/>
        </w:rPr>
        <w:t>US$ 500 millones, para que esta entidad incremente</w:t>
      </w:r>
      <w:r w:rsidRPr="00112445">
        <w:rPr>
          <w:rFonts w:ascii="Georgia" w:hAnsi="Georgia" w:cs="Calibri"/>
        </w:rPr>
        <w:t xml:space="preserve"> su aporte al financiamiento </w:t>
      </w:r>
      <w:r>
        <w:rPr>
          <w:rFonts w:ascii="Georgia" w:hAnsi="Georgia" w:cs="Calibri"/>
        </w:rPr>
        <w:t xml:space="preserve">pyme </w:t>
      </w:r>
      <w:r w:rsidRPr="00112445">
        <w:rPr>
          <w:rFonts w:ascii="Georgia" w:hAnsi="Georgia" w:cs="Calibri"/>
        </w:rPr>
        <w:t>por hasta aproximadamente US$ 4.400 millones</w:t>
      </w:r>
      <w:r>
        <w:rPr>
          <w:rFonts w:ascii="Georgia" w:hAnsi="Georgia" w:cs="Calibri"/>
        </w:rPr>
        <w:t xml:space="preserve">. Además, </w:t>
      </w:r>
      <w:r w:rsidRPr="00112445">
        <w:rPr>
          <w:rFonts w:ascii="Georgia" w:hAnsi="Georgia" w:cs="Calibri"/>
        </w:rPr>
        <w:t xml:space="preserve">el Ministerio de Economía capitalizará el fondo de garantías de créditos para Pymes de CORFO FOGAIN con US$ 200 </w:t>
      </w:r>
      <w:r>
        <w:rPr>
          <w:rFonts w:ascii="Georgia" w:hAnsi="Georgia" w:cs="Calibri"/>
        </w:rPr>
        <w:t>millones. Esto permitirá a las p</w:t>
      </w:r>
      <w:r w:rsidRPr="00112445">
        <w:rPr>
          <w:rFonts w:ascii="Georgia" w:hAnsi="Georgia" w:cs="Calibri"/>
        </w:rPr>
        <w:t>ymes acceder a financiamiento de inversión y capital de trabajo por un monto total de hasta unos US$ 3.000 millones.</w:t>
      </w:r>
    </w:p>
    <w:p w14:paraId="793D9EA9" w14:textId="77777777" w:rsidR="00112445" w:rsidRPr="00953778" w:rsidRDefault="00112445" w:rsidP="00953778">
      <w:pPr>
        <w:contextualSpacing/>
        <w:jc w:val="left"/>
        <w:rPr>
          <w:rFonts w:ascii="Georgia" w:hAnsi="Georgia" w:cs="Calibri"/>
        </w:rPr>
      </w:pPr>
    </w:p>
    <w:p w14:paraId="6AAEF00A" w14:textId="460F869C" w:rsidR="00D11739" w:rsidRPr="00767BF6" w:rsidRDefault="00D11739" w:rsidP="00BF1AB8">
      <w:pPr>
        <w:pStyle w:val="Ttulo2"/>
        <w:rPr>
          <w:rFonts w:ascii="Georgia" w:hAnsi="Georgia"/>
        </w:rPr>
      </w:pPr>
      <w:bookmarkStart w:id="0" w:name="_GoBack"/>
      <w:bookmarkEnd w:id="0"/>
      <w:r w:rsidRPr="00767BF6">
        <w:rPr>
          <w:rFonts w:ascii="Georgia" w:hAnsi="Georgia"/>
        </w:rPr>
        <w:t>¿</w:t>
      </w:r>
      <w:r w:rsidR="00BF1AB8" w:rsidRPr="00767BF6">
        <w:rPr>
          <w:rFonts w:ascii="Georgia" w:hAnsi="Georgia"/>
        </w:rPr>
        <w:t>Cuáles son los plazos de inscripción al catastro?</w:t>
      </w:r>
    </w:p>
    <w:p w14:paraId="7F345D3D" w14:textId="3B646280" w:rsidR="00767BF6" w:rsidRPr="00953778" w:rsidRDefault="00470CD6" w:rsidP="00BF1AB8">
      <w:pPr>
        <w:rPr>
          <w:rFonts w:ascii="Georgia" w:hAnsi="Georgia"/>
          <w:b/>
          <w:color w:val="FF0000"/>
          <w:u w:val="single"/>
        </w:rPr>
      </w:pPr>
      <w:r w:rsidRPr="00767BF6">
        <w:rPr>
          <w:rFonts w:ascii="Georgia" w:hAnsi="Georgia"/>
          <w:b/>
          <w:color w:val="FF0000"/>
          <w:u w:val="single"/>
        </w:rPr>
        <w:t>Entre el lunes 18 de noviembre a las 12:00 horas, hasta el lunes 25 de noviembre a las 23:59 horas.</w:t>
      </w:r>
    </w:p>
    <w:p w14:paraId="1703D094" w14:textId="77777777" w:rsidR="00902300" w:rsidRPr="00767BF6" w:rsidRDefault="00C07E56" w:rsidP="00C07E56">
      <w:pPr>
        <w:pStyle w:val="Ttulo2"/>
        <w:rPr>
          <w:rFonts w:ascii="Georgia" w:hAnsi="Georgia"/>
        </w:rPr>
      </w:pPr>
      <w:r w:rsidRPr="00767BF6">
        <w:rPr>
          <w:rFonts w:ascii="Georgia" w:hAnsi="Georgia"/>
        </w:rPr>
        <w:t>¿</w:t>
      </w:r>
      <w:r w:rsidR="00301732" w:rsidRPr="00767BF6">
        <w:rPr>
          <w:rFonts w:ascii="Georgia" w:hAnsi="Georgia"/>
        </w:rPr>
        <w:t xml:space="preserve">A quién puedo recurrir para resolver otras dudas sobre el proceso? </w:t>
      </w:r>
    </w:p>
    <w:p w14:paraId="08657777" w14:textId="2ACCCF2F" w:rsidR="00301732" w:rsidRPr="00767BF6" w:rsidRDefault="00301732" w:rsidP="00767BF6">
      <w:pPr>
        <w:rPr>
          <w:rFonts w:ascii="Georgia" w:hAnsi="Georgia"/>
        </w:rPr>
      </w:pPr>
      <w:r w:rsidRPr="00767BF6">
        <w:rPr>
          <w:rFonts w:ascii="Georgia" w:hAnsi="Georgia"/>
        </w:rPr>
        <w:t xml:space="preserve">En caso de requerirlo, puede </w:t>
      </w:r>
      <w:r w:rsidR="00767BF6">
        <w:rPr>
          <w:rFonts w:ascii="Georgia" w:hAnsi="Georgia"/>
        </w:rPr>
        <w:t xml:space="preserve">acercarse al Centro de Negocio de Sercotec más cercano, o dirigirse a las Direcciones Regionales de Corfo y Sercotec. También podrá escribir un correo a la casilla </w:t>
      </w:r>
      <w:hyperlink r:id="rId17" w:history="1">
        <w:r w:rsidR="00767BF6" w:rsidRPr="007969AE">
          <w:rPr>
            <w:rStyle w:val="Hipervnculo"/>
            <w:rFonts w:ascii="Georgia" w:hAnsi="Georgia"/>
          </w:rPr>
          <w:t>levantemostupyme@economia.cl</w:t>
        </w:r>
      </w:hyperlink>
      <w:r w:rsidRPr="00767BF6">
        <w:rPr>
          <w:rFonts w:ascii="Georgia" w:hAnsi="Georgia"/>
        </w:rPr>
        <w:t>.</w:t>
      </w:r>
    </w:p>
    <w:sectPr w:rsidR="00301732" w:rsidRPr="00767BF6" w:rsidSect="0068259B">
      <w:head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28E00" w14:textId="77777777" w:rsidR="00681955" w:rsidRDefault="00681955" w:rsidP="00BF23BC">
      <w:pPr>
        <w:spacing w:after="0" w:line="240" w:lineRule="auto"/>
      </w:pPr>
      <w:r>
        <w:separator/>
      </w:r>
    </w:p>
  </w:endnote>
  <w:endnote w:type="continuationSeparator" w:id="0">
    <w:p w14:paraId="574D2AE4" w14:textId="77777777" w:rsidR="00681955" w:rsidRDefault="00681955" w:rsidP="00BF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MS Gothic"/>
    <w:panose1 w:val="00000000000000000000"/>
    <w:charset w:val="80"/>
    <w:family w:val="auto"/>
    <w:notTrueType/>
    <w:pitch w:val="variable"/>
    <w:sig w:usb0="8000002F" w:usb1="4807005B" w:usb2="00000010" w:usb3="00000000" w:csb0="0002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3407B" w14:textId="77777777" w:rsidR="00681955" w:rsidRDefault="00681955" w:rsidP="00BF23BC">
      <w:pPr>
        <w:spacing w:after="0" w:line="240" w:lineRule="auto"/>
      </w:pPr>
      <w:r>
        <w:separator/>
      </w:r>
    </w:p>
  </w:footnote>
  <w:footnote w:type="continuationSeparator" w:id="0">
    <w:p w14:paraId="47D5D0D3" w14:textId="77777777" w:rsidR="00681955" w:rsidRDefault="00681955" w:rsidP="00BF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FAE2" w14:textId="77777777" w:rsidR="00C42C8F" w:rsidRDefault="006433B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B830241" wp14:editId="1BFA678F">
          <wp:simplePos x="0" y="0"/>
          <wp:positionH relativeFrom="column">
            <wp:posOffset>2300605</wp:posOffset>
          </wp:positionH>
          <wp:positionV relativeFrom="paragraph">
            <wp:posOffset>635</wp:posOffset>
          </wp:positionV>
          <wp:extent cx="1011238" cy="90000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econo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23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BCF"/>
    <w:multiLevelType w:val="hybridMultilevel"/>
    <w:tmpl w:val="27F8DC40"/>
    <w:lvl w:ilvl="0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652008D"/>
    <w:multiLevelType w:val="hybridMultilevel"/>
    <w:tmpl w:val="C024AE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37F25"/>
    <w:multiLevelType w:val="hybridMultilevel"/>
    <w:tmpl w:val="2BD25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53D0"/>
    <w:multiLevelType w:val="hybridMultilevel"/>
    <w:tmpl w:val="E5E08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5144"/>
    <w:multiLevelType w:val="hybridMultilevel"/>
    <w:tmpl w:val="BA0E237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D257D"/>
    <w:multiLevelType w:val="hybridMultilevel"/>
    <w:tmpl w:val="3A0EAAF6"/>
    <w:lvl w:ilvl="0" w:tplc="30D0E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41A2"/>
    <w:multiLevelType w:val="hybridMultilevel"/>
    <w:tmpl w:val="0DA4C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3058"/>
    <w:multiLevelType w:val="hybridMultilevel"/>
    <w:tmpl w:val="9A0C53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EE7B36"/>
    <w:multiLevelType w:val="hybridMultilevel"/>
    <w:tmpl w:val="E44E2EC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D2F4F"/>
    <w:multiLevelType w:val="hybridMultilevel"/>
    <w:tmpl w:val="BEA675E8"/>
    <w:lvl w:ilvl="0" w:tplc="109CAE78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C0233"/>
    <w:multiLevelType w:val="hybridMultilevel"/>
    <w:tmpl w:val="09BA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11D"/>
    <w:multiLevelType w:val="hybridMultilevel"/>
    <w:tmpl w:val="1458E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9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5"/>
  </w:num>
  <w:num w:numId="17">
    <w:abstractNumId w:val="9"/>
    <w:lvlOverride w:ilvl="0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00"/>
    <w:rsid w:val="000723D0"/>
    <w:rsid w:val="00096830"/>
    <w:rsid w:val="000D7B8B"/>
    <w:rsid w:val="000E67F9"/>
    <w:rsid w:val="00104061"/>
    <w:rsid w:val="00104987"/>
    <w:rsid w:val="00112445"/>
    <w:rsid w:val="00131CBC"/>
    <w:rsid w:val="0019528B"/>
    <w:rsid w:val="001A6BD9"/>
    <w:rsid w:val="001C08AD"/>
    <w:rsid w:val="001F753D"/>
    <w:rsid w:val="00211C1F"/>
    <w:rsid w:val="00250BCA"/>
    <w:rsid w:val="00260332"/>
    <w:rsid w:val="0028019E"/>
    <w:rsid w:val="002E6F8A"/>
    <w:rsid w:val="00301732"/>
    <w:rsid w:val="00321C20"/>
    <w:rsid w:val="00324AE4"/>
    <w:rsid w:val="0033513A"/>
    <w:rsid w:val="003924DA"/>
    <w:rsid w:val="003A04D5"/>
    <w:rsid w:val="003D1C7E"/>
    <w:rsid w:val="003D1F2B"/>
    <w:rsid w:val="003D7088"/>
    <w:rsid w:val="004172BB"/>
    <w:rsid w:val="00470CD6"/>
    <w:rsid w:val="004B506D"/>
    <w:rsid w:val="004C4889"/>
    <w:rsid w:val="004D5F51"/>
    <w:rsid w:val="004F434C"/>
    <w:rsid w:val="00542194"/>
    <w:rsid w:val="005752CE"/>
    <w:rsid w:val="00577D78"/>
    <w:rsid w:val="00597E4F"/>
    <w:rsid w:val="005B4E00"/>
    <w:rsid w:val="005D40D5"/>
    <w:rsid w:val="005E093C"/>
    <w:rsid w:val="005E4FFF"/>
    <w:rsid w:val="00600000"/>
    <w:rsid w:val="00607166"/>
    <w:rsid w:val="00623838"/>
    <w:rsid w:val="0063490E"/>
    <w:rsid w:val="006433BB"/>
    <w:rsid w:val="00681955"/>
    <w:rsid w:val="0068259B"/>
    <w:rsid w:val="006F1A36"/>
    <w:rsid w:val="00767BF6"/>
    <w:rsid w:val="007A057F"/>
    <w:rsid w:val="007C44FA"/>
    <w:rsid w:val="008108B4"/>
    <w:rsid w:val="00851100"/>
    <w:rsid w:val="0087065E"/>
    <w:rsid w:val="008A1FAE"/>
    <w:rsid w:val="008C2E9E"/>
    <w:rsid w:val="00902300"/>
    <w:rsid w:val="00953778"/>
    <w:rsid w:val="009924FD"/>
    <w:rsid w:val="009A1E0A"/>
    <w:rsid w:val="009D1DE1"/>
    <w:rsid w:val="00A17404"/>
    <w:rsid w:val="00A25E99"/>
    <w:rsid w:val="00A65E6C"/>
    <w:rsid w:val="00A772BE"/>
    <w:rsid w:val="00AB17AE"/>
    <w:rsid w:val="00AF7775"/>
    <w:rsid w:val="00B42F50"/>
    <w:rsid w:val="00B52FB4"/>
    <w:rsid w:val="00B755E4"/>
    <w:rsid w:val="00B900DF"/>
    <w:rsid w:val="00B928F9"/>
    <w:rsid w:val="00BB491F"/>
    <w:rsid w:val="00BF1AB8"/>
    <w:rsid w:val="00BF23BC"/>
    <w:rsid w:val="00C07E56"/>
    <w:rsid w:val="00C21E8F"/>
    <w:rsid w:val="00C40EA5"/>
    <w:rsid w:val="00C42C8F"/>
    <w:rsid w:val="00C50B4C"/>
    <w:rsid w:val="00C563D8"/>
    <w:rsid w:val="00C63774"/>
    <w:rsid w:val="00C6456D"/>
    <w:rsid w:val="00C929C4"/>
    <w:rsid w:val="00C978B5"/>
    <w:rsid w:val="00D11739"/>
    <w:rsid w:val="00D22461"/>
    <w:rsid w:val="00DA7E69"/>
    <w:rsid w:val="00DD0337"/>
    <w:rsid w:val="00DF22EF"/>
    <w:rsid w:val="00E1447A"/>
    <w:rsid w:val="00E433BE"/>
    <w:rsid w:val="00E51F5D"/>
    <w:rsid w:val="00E54D8B"/>
    <w:rsid w:val="00E87ECB"/>
    <w:rsid w:val="00EB15A0"/>
    <w:rsid w:val="00ED22DE"/>
    <w:rsid w:val="00ED6AF7"/>
    <w:rsid w:val="00EE6D70"/>
    <w:rsid w:val="00F66C9C"/>
    <w:rsid w:val="00FE264B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82951"/>
  <w15:docId w15:val="{035BEBFD-3309-4C1E-A4B4-D01FFD25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39"/>
    <w:pPr>
      <w:jc w:val="both"/>
    </w:pPr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D11739"/>
    <w:pPr>
      <w:keepNext/>
      <w:keepLines/>
      <w:spacing w:before="120" w:after="12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D11739"/>
    <w:pPr>
      <w:numPr>
        <w:numId w:val="2"/>
      </w:numPr>
      <w:spacing w:before="240" w:after="24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3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F23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23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23B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F23B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1739"/>
    <w:rPr>
      <w:rFonts w:ascii="gobCL" w:hAnsi="gobCL"/>
      <w:b/>
    </w:rPr>
  </w:style>
  <w:style w:type="paragraph" w:styleId="Encabezado">
    <w:name w:val="header"/>
    <w:basedOn w:val="Normal"/>
    <w:link w:val="EncabezadoCar"/>
    <w:uiPriority w:val="99"/>
    <w:unhideWhenUsed/>
    <w:rsid w:val="00C42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C8F"/>
  </w:style>
  <w:style w:type="paragraph" w:styleId="Piedepgina">
    <w:name w:val="footer"/>
    <w:basedOn w:val="Normal"/>
    <w:link w:val="PiedepginaCar"/>
    <w:uiPriority w:val="99"/>
    <w:unhideWhenUsed/>
    <w:rsid w:val="00C42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C8F"/>
  </w:style>
  <w:style w:type="character" w:customStyle="1" w:styleId="Ttulo1Car">
    <w:name w:val="Título 1 Car"/>
    <w:basedOn w:val="Fuentedeprrafopredeter"/>
    <w:link w:val="Ttulo1"/>
    <w:uiPriority w:val="9"/>
    <w:rsid w:val="00D11739"/>
    <w:rPr>
      <w:rFonts w:ascii="gobCL" w:eastAsiaTheme="majorEastAsia" w:hAnsi="gobCL" w:cstheme="majorBidi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EB1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15A0"/>
    <w:rPr>
      <w:rFonts w:ascii="gobCL" w:hAnsi="gobCL"/>
    </w:rPr>
  </w:style>
  <w:style w:type="table" w:styleId="Tablaconcuadrcula">
    <w:name w:val="Table Grid"/>
    <w:basedOn w:val="Tablanormal"/>
    <w:uiPriority w:val="39"/>
    <w:rsid w:val="009D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F8A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42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42F50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42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F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F50"/>
    <w:rPr>
      <w:rFonts w:ascii="gobCL" w:hAnsi="gobC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F50"/>
    <w:rPr>
      <w:rFonts w:ascii="gobCL" w:hAnsi="gobC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3838"/>
    <w:pPr>
      <w:spacing w:after="0" w:line="240" w:lineRule="auto"/>
    </w:pPr>
    <w:rPr>
      <w:rFonts w:ascii="gobCL" w:hAnsi="gob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72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67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chacatastro.economia.gob.cl/Ingreso/Default.aspx" TargetMode="External"/><Relationship Id="rId13" Type="http://schemas.openxmlformats.org/officeDocument/2006/relationships/hyperlink" Target="https://www.corfo.cl/sites/cpp/intermediario&amp;at=14564079181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rfo.cl/sites/cpp/canales_de_atenci&#243;n" TargetMode="External"/><Relationship Id="rId17" Type="http://schemas.openxmlformats.org/officeDocument/2006/relationships/hyperlink" Target="mailto:levantemostupyme@economia.c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ci.cl/empresarios/medidas-de-apoyo-py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cotec.cl/mapa-de-oficin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3.bancochile.cl/wps/wcm/connect/pyme/portal/asesoria-capacitacion-y-beneficios/comprometidos-con-pymes" TargetMode="External"/><Relationship Id="rId10" Type="http://schemas.openxmlformats.org/officeDocument/2006/relationships/hyperlink" Target="https://www.sercotec.cl/centros-de-negocio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onomia.gob.cl/levantemostupyme" TargetMode="External"/><Relationship Id="rId14" Type="http://schemas.openxmlformats.org/officeDocument/2006/relationships/hyperlink" Target="https://www.bancoestado.cl/imagenes/_campanas/microempresas/levantapyme/levantapyme-micro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B4F2-2888-436A-B342-A1576ACE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Caleb Laibe Saez</dc:creator>
  <cp:keywords/>
  <dc:description/>
  <cp:lastModifiedBy>Abel Ignacio Benitez Calderon</cp:lastModifiedBy>
  <cp:revision>6</cp:revision>
  <dcterms:created xsi:type="dcterms:W3CDTF">2019-11-18T12:53:00Z</dcterms:created>
  <dcterms:modified xsi:type="dcterms:W3CDTF">2019-11-18T14:32:00Z</dcterms:modified>
</cp:coreProperties>
</file>